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3CA5" w14:textId="77777777" w:rsidR="007341A9" w:rsidRDefault="007341A9">
      <w:pPr>
        <w:pStyle w:val="BodyText"/>
        <w:rPr>
          <w:rFonts w:ascii="Times New Roman"/>
          <w:sz w:val="20"/>
        </w:rPr>
      </w:pPr>
    </w:p>
    <w:p w14:paraId="7E9D8430" w14:textId="77777777" w:rsidR="007341A9" w:rsidRDefault="00DB6351">
      <w:pPr>
        <w:pStyle w:val="BodyText"/>
        <w:ind w:left="8669"/>
        <w:rPr>
          <w:sz w:val="20"/>
        </w:rPr>
      </w:pPr>
      <w:r>
        <w:rPr>
          <w:noProof/>
          <w:sz w:val="20"/>
        </w:rPr>
        <w:drawing>
          <wp:inline distT="0" distB="0" distL="0" distR="0" wp14:anchorId="01FD805A" wp14:editId="7531BC3B">
            <wp:extent cx="872814" cy="1215390"/>
            <wp:effectExtent l="0" t="0" r="0" b="0"/>
            <wp:docPr id="3" name="image2.png" descr="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872814" cy="1215390"/>
                    </a:xfrm>
                    <a:prstGeom prst="rect">
                      <a:avLst/>
                    </a:prstGeom>
                  </pic:spPr>
                </pic:pic>
              </a:graphicData>
            </a:graphic>
          </wp:inline>
        </w:drawing>
      </w:r>
    </w:p>
    <w:p w14:paraId="7BE51F1E" w14:textId="77777777" w:rsidR="007341A9" w:rsidRDefault="007341A9">
      <w:pPr>
        <w:pStyle w:val="BodyText"/>
        <w:spacing w:before="9"/>
        <w:rPr>
          <w:i/>
          <w:sz w:val="3"/>
        </w:rPr>
      </w:pPr>
    </w:p>
    <w:tbl>
      <w:tblPr>
        <w:tblW w:w="0" w:type="auto"/>
        <w:tblInd w:w="286" w:type="dxa"/>
        <w:tblLayout w:type="fixed"/>
        <w:tblCellMar>
          <w:left w:w="0" w:type="dxa"/>
          <w:right w:w="0" w:type="dxa"/>
        </w:tblCellMar>
        <w:tblLook w:val="01E0" w:firstRow="1" w:lastRow="1" w:firstColumn="1" w:lastColumn="1" w:noHBand="0" w:noVBand="0"/>
      </w:tblPr>
      <w:tblGrid>
        <w:gridCol w:w="2272"/>
        <w:gridCol w:w="6073"/>
      </w:tblGrid>
      <w:tr w:rsidR="007341A9" w14:paraId="5E4EB608" w14:textId="77777777">
        <w:trPr>
          <w:trHeight w:val="332"/>
        </w:trPr>
        <w:tc>
          <w:tcPr>
            <w:tcW w:w="2272" w:type="dxa"/>
          </w:tcPr>
          <w:p w14:paraId="1FE7C181" w14:textId="77777777" w:rsidR="007341A9" w:rsidRDefault="00DB6351">
            <w:pPr>
              <w:pStyle w:val="TableParagraph"/>
              <w:spacing w:line="268" w:lineRule="exact"/>
              <w:ind w:left="200"/>
              <w:rPr>
                <w:b/>
                <w:sz w:val="24"/>
              </w:rPr>
            </w:pPr>
            <w:r>
              <w:rPr>
                <w:b/>
                <w:sz w:val="24"/>
              </w:rPr>
              <w:t>To:</w:t>
            </w:r>
          </w:p>
        </w:tc>
        <w:tc>
          <w:tcPr>
            <w:tcW w:w="6073" w:type="dxa"/>
          </w:tcPr>
          <w:p w14:paraId="18F7323B" w14:textId="77777777" w:rsidR="007341A9" w:rsidRDefault="00DB6351">
            <w:pPr>
              <w:pStyle w:val="TableParagraph"/>
              <w:spacing w:line="268" w:lineRule="exact"/>
              <w:ind w:left="366"/>
              <w:rPr>
                <w:b/>
                <w:sz w:val="24"/>
              </w:rPr>
            </w:pPr>
            <w:r>
              <w:rPr>
                <w:b/>
                <w:sz w:val="24"/>
              </w:rPr>
              <w:t>Scrutiny Committee</w:t>
            </w:r>
          </w:p>
        </w:tc>
      </w:tr>
      <w:tr w:rsidR="007341A9" w14:paraId="64907F31" w14:textId="77777777">
        <w:trPr>
          <w:trHeight w:val="407"/>
        </w:trPr>
        <w:tc>
          <w:tcPr>
            <w:tcW w:w="2272" w:type="dxa"/>
          </w:tcPr>
          <w:p w14:paraId="0CAA3E61" w14:textId="77777777" w:rsidR="007341A9" w:rsidRDefault="00DB6351">
            <w:pPr>
              <w:pStyle w:val="TableParagraph"/>
              <w:spacing w:before="56"/>
              <w:ind w:left="200"/>
              <w:rPr>
                <w:b/>
                <w:sz w:val="24"/>
              </w:rPr>
            </w:pPr>
            <w:r>
              <w:rPr>
                <w:b/>
                <w:sz w:val="24"/>
              </w:rPr>
              <w:t>Date:</w:t>
            </w:r>
          </w:p>
        </w:tc>
        <w:tc>
          <w:tcPr>
            <w:tcW w:w="6073" w:type="dxa"/>
          </w:tcPr>
          <w:p w14:paraId="7A27D12C" w14:textId="77777777" w:rsidR="007341A9" w:rsidRDefault="00DB6351">
            <w:pPr>
              <w:pStyle w:val="TableParagraph"/>
              <w:spacing w:before="56"/>
              <w:ind w:left="366"/>
              <w:rPr>
                <w:b/>
                <w:sz w:val="24"/>
              </w:rPr>
            </w:pPr>
            <w:r>
              <w:rPr>
                <w:b/>
                <w:sz w:val="24"/>
              </w:rPr>
              <w:t>1 July 2025</w:t>
            </w:r>
          </w:p>
        </w:tc>
      </w:tr>
      <w:tr w:rsidR="007341A9" w14:paraId="220AAF36" w14:textId="77777777">
        <w:trPr>
          <w:trHeight w:val="406"/>
        </w:trPr>
        <w:tc>
          <w:tcPr>
            <w:tcW w:w="2272" w:type="dxa"/>
          </w:tcPr>
          <w:p w14:paraId="166C5E88" w14:textId="77777777" w:rsidR="007341A9" w:rsidRDefault="00DB6351">
            <w:pPr>
              <w:pStyle w:val="TableParagraph"/>
              <w:spacing w:before="68"/>
              <w:ind w:left="200"/>
              <w:rPr>
                <w:b/>
                <w:sz w:val="24"/>
              </w:rPr>
            </w:pPr>
            <w:r>
              <w:rPr>
                <w:b/>
                <w:sz w:val="24"/>
              </w:rPr>
              <w:t>Report of:</w:t>
            </w:r>
          </w:p>
        </w:tc>
        <w:tc>
          <w:tcPr>
            <w:tcW w:w="6073" w:type="dxa"/>
          </w:tcPr>
          <w:p w14:paraId="5673582E" w14:textId="77777777" w:rsidR="007341A9" w:rsidRDefault="00DB6351">
            <w:pPr>
              <w:pStyle w:val="TableParagraph"/>
              <w:spacing w:before="68"/>
              <w:ind w:left="366"/>
              <w:rPr>
                <w:b/>
                <w:sz w:val="24"/>
              </w:rPr>
            </w:pPr>
            <w:r>
              <w:rPr>
                <w:b/>
                <w:sz w:val="24"/>
              </w:rPr>
              <w:t>Chair of the Scrutiny Committee</w:t>
            </w:r>
          </w:p>
        </w:tc>
      </w:tr>
      <w:tr w:rsidR="007341A9" w14:paraId="2E01407C" w14:textId="77777777">
        <w:trPr>
          <w:trHeight w:val="606"/>
        </w:trPr>
        <w:tc>
          <w:tcPr>
            <w:tcW w:w="2272" w:type="dxa"/>
          </w:tcPr>
          <w:p w14:paraId="0EF05D92" w14:textId="77777777" w:rsidR="007341A9" w:rsidRDefault="00DB6351">
            <w:pPr>
              <w:pStyle w:val="TableParagraph"/>
              <w:spacing w:before="55"/>
              <w:ind w:left="200"/>
              <w:rPr>
                <w:b/>
                <w:sz w:val="24"/>
              </w:rPr>
            </w:pPr>
            <w:r>
              <w:rPr>
                <w:b/>
                <w:sz w:val="24"/>
              </w:rPr>
              <w:t>Title of Report:</w:t>
            </w:r>
          </w:p>
        </w:tc>
        <w:tc>
          <w:tcPr>
            <w:tcW w:w="6073" w:type="dxa"/>
          </w:tcPr>
          <w:p w14:paraId="3642714C" w14:textId="77777777" w:rsidR="007341A9" w:rsidRDefault="00DB6351">
            <w:pPr>
              <w:pStyle w:val="TableParagraph"/>
              <w:spacing w:before="55" w:line="270" w:lineRule="atLeast"/>
              <w:ind w:left="366" w:right="180"/>
              <w:rPr>
                <w:b/>
                <w:sz w:val="24"/>
              </w:rPr>
            </w:pPr>
            <w:r>
              <w:rPr>
                <w:b/>
                <w:sz w:val="24"/>
              </w:rPr>
              <w:t>Recommendations from the Working Groups for endorsement at the Scrutiny Committee</w:t>
            </w:r>
          </w:p>
        </w:tc>
      </w:tr>
    </w:tbl>
    <w:p w14:paraId="0113A0A7" w14:textId="77777777" w:rsidR="007341A9" w:rsidRDefault="007341A9">
      <w:pPr>
        <w:pStyle w:val="BodyText"/>
        <w:rPr>
          <w:i/>
          <w:sz w:val="20"/>
        </w:rPr>
      </w:pPr>
    </w:p>
    <w:p w14:paraId="6906E4B5" w14:textId="77777777" w:rsidR="007341A9" w:rsidRDefault="007341A9">
      <w:pPr>
        <w:pStyle w:val="BodyText"/>
        <w:spacing w:before="10"/>
        <w:rPr>
          <w:i/>
        </w:rPr>
      </w:pPr>
    </w:p>
    <w:tbl>
      <w:tblPr>
        <w:tblW w:w="0" w:type="auto"/>
        <w:tblInd w:w="391" w:type="dxa"/>
        <w:tblLayout w:type="fixed"/>
        <w:tblCellMar>
          <w:left w:w="0" w:type="dxa"/>
          <w:right w:w="0" w:type="dxa"/>
        </w:tblCellMar>
        <w:tblLook w:val="01E0" w:firstRow="1" w:lastRow="1" w:firstColumn="1" w:lastColumn="1" w:noHBand="0" w:noVBand="0"/>
      </w:tblPr>
      <w:tblGrid>
        <w:gridCol w:w="2396"/>
        <w:gridCol w:w="6451"/>
      </w:tblGrid>
      <w:tr w:rsidR="007341A9" w14:paraId="12A682FA" w14:textId="77777777">
        <w:trPr>
          <w:trHeight w:val="397"/>
        </w:trPr>
        <w:tc>
          <w:tcPr>
            <w:tcW w:w="8847" w:type="dxa"/>
            <w:gridSpan w:val="2"/>
            <w:tcBorders>
              <w:top w:val="single" w:sz="8" w:space="0" w:color="000000"/>
              <w:left w:val="single" w:sz="8" w:space="0" w:color="000000"/>
              <w:bottom w:val="single" w:sz="8" w:space="0" w:color="000000"/>
              <w:right w:val="single" w:sz="8" w:space="0" w:color="000000"/>
            </w:tcBorders>
          </w:tcPr>
          <w:p w14:paraId="4880DCE1" w14:textId="77777777" w:rsidR="007341A9" w:rsidRDefault="00DB6351">
            <w:pPr>
              <w:pStyle w:val="TableParagraph"/>
              <w:spacing w:before="2"/>
              <w:ind w:left="2540" w:right="2525"/>
              <w:jc w:val="center"/>
              <w:rPr>
                <w:b/>
                <w:sz w:val="24"/>
              </w:rPr>
            </w:pPr>
            <w:r>
              <w:rPr>
                <w:b/>
                <w:sz w:val="24"/>
              </w:rPr>
              <w:t>Summary and recommendations</w:t>
            </w:r>
          </w:p>
        </w:tc>
      </w:tr>
      <w:tr w:rsidR="007341A9" w14:paraId="23FBDE18" w14:textId="77777777">
        <w:trPr>
          <w:trHeight w:val="615"/>
        </w:trPr>
        <w:tc>
          <w:tcPr>
            <w:tcW w:w="2396" w:type="dxa"/>
            <w:tcBorders>
              <w:top w:val="single" w:sz="8" w:space="0" w:color="000000"/>
              <w:left w:val="single" w:sz="8" w:space="0" w:color="000000"/>
            </w:tcBorders>
          </w:tcPr>
          <w:p w14:paraId="18FB5F21" w14:textId="77777777" w:rsidR="007341A9" w:rsidRDefault="00DB6351">
            <w:pPr>
              <w:pStyle w:val="TableParagraph"/>
              <w:ind w:right="552"/>
              <w:rPr>
                <w:b/>
                <w:sz w:val="24"/>
              </w:rPr>
            </w:pPr>
            <w:r>
              <w:rPr>
                <w:b/>
                <w:sz w:val="24"/>
              </w:rPr>
              <w:t>Decision being taken:</w:t>
            </w:r>
          </w:p>
        </w:tc>
        <w:tc>
          <w:tcPr>
            <w:tcW w:w="6451" w:type="dxa"/>
            <w:tcBorders>
              <w:top w:val="single" w:sz="8" w:space="0" w:color="000000"/>
              <w:right w:val="single" w:sz="8" w:space="0" w:color="000000"/>
            </w:tcBorders>
          </w:tcPr>
          <w:p w14:paraId="7E7D3234" w14:textId="77777777" w:rsidR="007341A9" w:rsidRDefault="00DB6351">
            <w:pPr>
              <w:pStyle w:val="TableParagraph"/>
              <w:ind w:left="160" w:right="778"/>
              <w:rPr>
                <w:sz w:val="24"/>
              </w:rPr>
            </w:pPr>
            <w:r>
              <w:rPr>
                <w:sz w:val="24"/>
              </w:rPr>
              <w:t>To endorse the recommendations from the Working Groups.</w:t>
            </w:r>
          </w:p>
        </w:tc>
      </w:tr>
      <w:tr w:rsidR="007341A9" w14:paraId="0FD796D3" w14:textId="77777777">
        <w:trPr>
          <w:trHeight w:val="396"/>
        </w:trPr>
        <w:tc>
          <w:tcPr>
            <w:tcW w:w="2396" w:type="dxa"/>
            <w:tcBorders>
              <w:left w:val="single" w:sz="8" w:space="0" w:color="000000"/>
            </w:tcBorders>
          </w:tcPr>
          <w:p w14:paraId="1083F319" w14:textId="77777777" w:rsidR="007341A9" w:rsidRDefault="00DB6351">
            <w:pPr>
              <w:pStyle w:val="TableParagraph"/>
              <w:spacing w:before="56"/>
              <w:rPr>
                <w:b/>
                <w:sz w:val="24"/>
              </w:rPr>
            </w:pPr>
            <w:r>
              <w:rPr>
                <w:b/>
                <w:sz w:val="24"/>
              </w:rPr>
              <w:t>Key decision:</w:t>
            </w:r>
          </w:p>
        </w:tc>
        <w:tc>
          <w:tcPr>
            <w:tcW w:w="6451" w:type="dxa"/>
            <w:tcBorders>
              <w:right w:val="single" w:sz="8" w:space="0" w:color="000000"/>
            </w:tcBorders>
          </w:tcPr>
          <w:p w14:paraId="3111B849" w14:textId="77777777" w:rsidR="007341A9" w:rsidRDefault="00DB6351">
            <w:pPr>
              <w:pStyle w:val="TableParagraph"/>
              <w:spacing w:before="56"/>
              <w:ind w:left="160"/>
              <w:rPr>
                <w:sz w:val="24"/>
              </w:rPr>
            </w:pPr>
            <w:r>
              <w:rPr>
                <w:sz w:val="24"/>
              </w:rPr>
              <w:t>No</w:t>
            </w:r>
          </w:p>
        </w:tc>
      </w:tr>
      <w:tr w:rsidR="007341A9" w14:paraId="4227082C" w14:textId="77777777">
        <w:trPr>
          <w:trHeight w:val="395"/>
        </w:trPr>
        <w:tc>
          <w:tcPr>
            <w:tcW w:w="2396" w:type="dxa"/>
            <w:tcBorders>
              <w:left w:val="single" w:sz="8" w:space="0" w:color="000000"/>
            </w:tcBorders>
          </w:tcPr>
          <w:p w14:paraId="5CC1C902" w14:textId="77777777" w:rsidR="007341A9" w:rsidRDefault="00DB6351">
            <w:pPr>
              <w:pStyle w:val="TableParagraph"/>
              <w:spacing w:before="56"/>
              <w:rPr>
                <w:b/>
                <w:sz w:val="24"/>
              </w:rPr>
            </w:pPr>
            <w:r>
              <w:rPr>
                <w:b/>
                <w:sz w:val="24"/>
              </w:rPr>
              <w:t>Lead Member:</w:t>
            </w:r>
          </w:p>
        </w:tc>
        <w:tc>
          <w:tcPr>
            <w:tcW w:w="6451" w:type="dxa"/>
            <w:tcBorders>
              <w:right w:val="single" w:sz="8" w:space="0" w:color="000000"/>
            </w:tcBorders>
          </w:tcPr>
          <w:p w14:paraId="11493FF3" w14:textId="77777777" w:rsidR="007341A9" w:rsidRDefault="00DB6351">
            <w:pPr>
              <w:pStyle w:val="TableParagraph"/>
              <w:spacing w:before="56"/>
              <w:ind w:left="160"/>
              <w:rPr>
                <w:sz w:val="24"/>
              </w:rPr>
            </w:pPr>
            <w:r>
              <w:rPr>
                <w:sz w:val="24"/>
              </w:rPr>
              <w:t>Chairs of the Scrutiny Working Groups</w:t>
            </w:r>
          </w:p>
        </w:tc>
      </w:tr>
      <w:tr w:rsidR="007341A9" w14:paraId="0B1D0B72" w14:textId="77777777">
        <w:trPr>
          <w:trHeight w:val="396"/>
        </w:trPr>
        <w:tc>
          <w:tcPr>
            <w:tcW w:w="2396" w:type="dxa"/>
            <w:tcBorders>
              <w:left w:val="single" w:sz="8" w:space="0" w:color="000000"/>
            </w:tcBorders>
          </w:tcPr>
          <w:p w14:paraId="6E7150FB" w14:textId="77777777" w:rsidR="007341A9" w:rsidRDefault="00DB6351">
            <w:pPr>
              <w:pStyle w:val="TableParagraph"/>
              <w:spacing w:before="56"/>
              <w:rPr>
                <w:b/>
                <w:sz w:val="24"/>
              </w:rPr>
            </w:pPr>
            <w:r>
              <w:rPr>
                <w:b/>
                <w:sz w:val="24"/>
              </w:rPr>
              <w:t>Corporate Priority:</w:t>
            </w:r>
          </w:p>
        </w:tc>
        <w:tc>
          <w:tcPr>
            <w:tcW w:w="6451" w:type="dxa"/>
            <w:tcBorders>
              <w:right w:val="single" w:sz="8" w:space="0" w:color="000000"/>
            </w:tcBorders>
          </w:tcPr>
          <w:p w14:paraId="0C3C9497" w14:textId="77777777" w:rsidR="007341A9" w:rsidRDefault="00DB6351">
            <w:pPr>
              <w:pStyle w:val="TableParagraph"/>
              <w:spacing w:before="56"/>
              <w:ind w:left="160"/>
              <w:rPr>
                <w:sz w:val="24"/>
              </w:rPr>
            </w:pPr>
            <w:r>
              <w:rPr>
                <w:sz w:val="24"/>
              </w:rPr>
              <w:t>A Well-Run Council</w:t>
            </w:r>
          </w:p>
        </w:tc>
      </w:tr>
      <w:tr w:rsidR="007341A9" w14:paraId="1B8A3A76" w14:textId="77777777">
        <w:trPr>
          <w:trHeight w:val="451"/>
        </w:trPr>
        <w:tc>
          <w:tcPr>
            <w:tcW w:w="2396" w:type="dxa"/>
            <w:tcBorders>
              <w:left w:val="single" w:sz="8" w:space="0" w:color="000000"/>
              <w:bottom w:val="single" w:sz="8" w:space="0" w:color="000000"/>
            </w:tcBorders>
          </w:tcPr>
          <w:p w14:paraId="744CDCCB" w14:textId="77777777" w:rsidR="007341A9" w:rsidRDefault="00DB6351">
            <w:pPr>
              <w:pStyle w:val="TableParagraph"/>
              <w:spacing w:before="56"/>
              <w:rPr>
                <w:b/>
                <w:sz w:val="24"/>
              </w:rPr>
            </w:pPr>
            <w:r>
              <w:rPr>
                <w:b/>
                <w:sz w:val="24"/>
              </w:rPr>
              <w:t>Policy Framework:</w:t>
            </w:r>
          </w:p>
        </w:tc>
        <w:tc>
          <w:tcPr>
            <w:tcW w:w="6451" w:type="dxa"/>
            <w:tcBorders>
              <w:bottom w:val="single" w:sz="8" w:space="0" w:color="000000"/>
              <w:right w:val="single" w:sz="8" w:space="0" w:color="000000"/>
            </w:tcBorders>
          </w:tcPr>
          <w:p w14:paraId="43BF436B" w14:textId="77777777" w:rsidR="007341A9" w:rsidRDefault="00DB6351">
            <w:pPr>
              <w:pStyle w:val="TableParagraph"/>
              <w:spacing w:before="56"/>
              <w:ind w:left="160"/>
              <w:rPr>
                <w:sz w:val="24"/>
              </w:rPr>
            </w:pPr>
            <w:r>
              <w:rPr>
                <w:sz w:val="24"/>
              </w:rPr>
              <w:t>None</w:t>
            </w:r>
          </w:p>
        </w:tc>
      </w:tr>
    </w:tbl>
    <w:p w14:paraId="20F18B7F" w14:textId="77777777" w:rsidR="007341A9" w:rsidRDefault="007341A9">
      <w:pPr>
        <w:pStyle w:val="BodyText"/>
        <w:rPr>
          <w:i/>
          <w:sz w:val="20"/>
        </w:rPr>
      </w:pPr>
    </w:p>
    <w:p w14:paraId="6D815DAD" w14:textId="77777777" w:rsidR="007341A9" w:rsidRDefault="007341A9">
      <w:pPr>
        <w:pStyle w:val="BodyText"/>
        <w:spacing w:before="5"/>
        <w:rPr>
          <w:i/>
          <w:sz w:val="14"/>
        </w:rPr>
      </w:pPr>
    </w:p>
    <w:tbl>
      <w:tblPr>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
        <w:gridCol w:w="8424"/>
      </w:tblGrid>
      <w:tr w:rsidR="007341A9" w14:paraId="1D6E1020" w14:textId="77777777">
        <w:trPr>
          <w:trHeight w:val="414"/>
        </w:trPr>
        <w:tc>
          <w:tcPr>
            <w:tcW w:w="8847" w:type="dxa"/>
            <w:gridSpan w:val="2"/>
          </w:tcPr>
          <w:p w14:paraId="16F3AE2F" w14:textId="77777777" w:rsidR="007341A9" w:rsidRDefault="00DB6351">
            <w:pPr>
              <w:pStyle w:val="TableParagraph"/>
              <w:spacing w:before="2"/>
              <w:rPr>
                <w:b/>
                <w:sz w:val="24"/>
              </w:rPr>
            </w:pPr>
            <w:r>
              <w:rPr>
                <w:b/>
                <w:sz w:val="24"/>
              </w:rPr>
              <w:t>Recommendation(s): That the Scrutiny Committee resolves to:</w:t>
            </w:r>
          </w:p>
        </w:tc>
      </w:tr>
      <w:tr w:rsidR="007341A9" w14:paraId="3A4B74F9" w14:textId="77777777">
        <w:trPr>
          <w:trHeight w:val="671"/>
        </w:trPr>
        <w:tc>
          <w:tcPr>
            <w:tcW w:w="423" w:type="dxa"/>
            <w:tcBorders>
              <w:right w:val="nil"/>
            </w:tcBorders>
          </w:tcPr>
          <w:p w14:paraId="226D674E" w14:textId="77777777" w:rsidR="007341A9" w:rsidRDefault="00DB6351">
            <w:pPr>
              <w:pStyle w:val="TableParagraph"/>
              <w:rPr>
                <w:sz w:val="24"/>
              </w:rPr>
            </w:pPr>
            <w:r>
              <w:rPr>
                <w:sz w:val="24"/>
              </w:rPr>
              <w:t>1.</w:t>
            </w:r>
          </w:p>
        </w:tc>
        <w:tc>
          <w:tcPr>
            <w:tcW w:w="8424" w:type="dxa"/>
            <w:tcBorders>
              <w:left w:val="nil"/>
            </w:tcBorders>
          </w:tcPr>
          <w:p w14:paraId="5A20E058" w14:textId="77777777" w:rsidR="007341A9" w:rsidRDefault="00DB6351">
            <w:pPr>
              <w:pStyle w:val="TableParagraph"/>
              <w:ind w:left="121" w:right="216"/>
              <w:rPr>
                <w:b/>
                <w:sz w:val="24"/>
              </w:rPr>
            </w:pPr>
            <w:r>
              <w:rPr>
                <w:b/>
                <w:sz w:val="24"/>
              </w:rPr>
              <w:t xml:space="preserve">Endorse </w:t>
            </w:r>
            <w:r>
              <w:rPr>
                <w:sz w:val="24"/>
              </w:rPr>
              <w:t>the recommendations from the Climate and Environment, Housing and Homelessness, and Finance and Performance Working Groups</w:t>
            </w:r>
            <w:r>
              <w:rPr>
                <w:b/>
                <w:sz w:val="24"/>
              </w:rPr>
              <w:t>.</w:t>
            </w:r>
          </w:p>
        </w:tc>
      </w:tr>
    </w:tbl>
    <w:p w14:paraId="7BD34899" w14:textId="77777777" w:rsidR="007341A9" w:rsidRDefault="007341A9">
      <w:pPr>
        <w:pStyle w:val="BodyText"/>
        <w:rPr>
          <w:i/>
          <w:sz w:val="20"/>
        </w:rPr>
      </w:pPr>
    </w:p>
    <w:p w14:paraId="7395151B" w14:textId="77777777" w:rsidR="007341A9" w:rsidRDefault="007341A9">
      <w:pPr>
        <w:pStyle w:val="BodyText"/>
        <w:spacing w:before="5"/>
        <w:rPr>
          <w:i/>
          <w:sz w:val="14"/>
        </w:rPr>
      </w:pPr>
    </w:p>
    <w:tbl>
      <w:tblPr>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8"/>
        <w:gridCol w:w="6408"/>
      </w:tblGrid>
      <w:tr w:rsidR="007341A9" w14:paraId="747B137D" w14:textId="77777777">
        <w:trPr>
          <w:trHeight w:val="397"/>
        </w:trPr>
        <w:tc>
          <w:tcPr>
            <w:tcW w:w="8846" w:type="dxa"/>
            <w:gridSpan w:val="2"/>
          </w:tcPr>
          <w:p w14:paraId="3957B302" w14:textId="77777777" w:rsidR="007341A9" w:rsidRDefault="00DB6351">
            <w:pPr>
              <w:pStyle w:val="TableParagraph"/>
              <w:spacing w:before="2"/>
              <w:ind w:left="2260" w:right="2245"/>
              <w:jc w:val="center"/>
              <w:rPr>
                <w:b/>
                <w:sz w:val="24"/>
              </w:rPr>
            </w:pPr>
            <w:r>
              <w:rPr>
                <w:b/>
                <w:sz w:val="24"/>
              </w:rPr>
              <w:t xml:space="preserve">Information Exempt </w:t>
            </w:r>
            <w:proofErr w:type="gramStart"/>
            <w:r>
              <w:rPr>
                <w:b/>
                <w:sz w:val="24"/>
              </w:rPr>
              <w:t>From</w:t>
            </w:r>
            <w:proofErr w:type="gramEnd"/>
            <w:r>
              <w:rPr>
                <w:b/>
                <w:sz w:val="24"/>
              </w:rPr>
              <w:t xml:space="preserve"> Publication</w:t>
            </w:r>
          </w:p>
        </w:tc>
      </w:tr>
      <w:tr w:rsidR="007341A9" w14:paraId="36FA209D" w14:textId="77777777">
        <w:trPr>
          <w:trHeight w:val="395"/>
        </w:trPr>
        <w:tc>
          <w:tcPr>
            <w:tcW w:w="2438" w:type="dxa"/>
            <w:tcBorders>
              <w:right w:val="single" w:sz="4" w:space="0" w:color="000000"/>
            </w:tcBorders>
          </w:tcPr>
          <w:p w14:paraId="30A7925B" w14:textId="77777777" w:rsidR="007341A9" w:rsidRDefault="00DB6351">
            <w:pPr>
              <w:pStyle w:val="TableParagraph"/>
              <w:rPr>
                <w:b/>
                <w:sz w:val="24"/>
              </w:rPr>
            </w:pPr>
            <w:r>
              <w:rPr>
                <w:b/>
                <w:sz w:val="24"/>
              </w:rPr>
              <w:t>N/A</w:t>
            </w:r>
          </w:p>
        </w:tc>
        <w:tc>
          <w:tcPr>
            <w:tcW w:w="6408" w:type="dxa"/>
            <w:tcBorders>
              <w:left w:val="single" w:sz="4" w:space="0" w:color="000000"/>
            </w:tcBorders>
          </w:tcPr>
          <w:p w14:paraId="27A66EEC" w14:textId="77777777" w:rsidR="007341A9" w:rsidRDefault="00DB6351">
            <w:pPr>
              <w:pStyle w:val="TableParagraph"/>
              <w:ind w:left="113"/>
              <w:rPr>
                <w:sz w:val="24"/>
              </w:rPr>
            </w:pPr>
            <w:r>
              <w:rPr>
                <w:sz w:val="24"/>
              </w:rPr>
              <w:t>N/A</w:t>
            </w:r>
          </w:p>
        </w:tc>
      </w:tr>
    </w:tbl>
    <w:p w14:paraId="34C1E873" w14:textId="77777777" w:rsidR="007341A9" w:rsidRDefault="007341A9">
      <w:pPr>
        <w:pStyle w:val="BodyText"/>
        <w:rPr>
          <w:i/>
          <w:sz w:val="20"/>
        </w:rPr>
      </w:pPr>
    </w:p>
    <w:p w14:paraId="0DFF4D36" w14:textId="77777777" w:rsidR="007341A9" w:rsidRDefault="007341A9">
      <w:pPr>
        <w:pStyle w:val="BodyText"/>
        <w:spacing w:before="5"/>
        <w:rPr>
          <w:i/>
          <w:sz w:val="14"/>
        </w:rPr>
      </w:pPr>
    </w:p>
    <w:tbl>
      <w:tblPr>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13"/>
        <w:gridCol w:w="4915"/>
        <w:gridCol w:w="2342"/>
      </w:tblGrid>
      <w:tr w:rsidR="007341A9" w14:paraId="73A210F4" w14:textId="77777777">
        <w:trPr>
          <w:trHeight w:val="673"/>
        </w:trPr>
        <w:tc>
          <w:tcPr>
            <w:tcW w:w="1913" w:type="dxa"/>
            <w:tcBorders>
              <w:bottom w:val="single" w:sz="4" w:space="0" w:color="000000"/>
            </w:tcBorders>
          </w:tcPr>
          <w:p w14:paraId="1641C465" w14:textId="77777777" w:rsidR="007341A9" w:rsidRDefault="00DB6351">
            <w:pPr>
              <w:pStyle w:val="TableParagraph"/>
              <w:spacing w:before="2"/>
              <w:ind w:left="181"/>
              <w:rPr>
                <w:b/>
                <w:sz w:val="24"/>
              </w:rPr>
            </w:pPr>
            <w:r>
              <w:rPr>
                <w:b/>
                <w:sz w:val="24"/>
              </w:rPr>
              <w:t>Appendix No.</w:t>
            </w:r>
          </w:p>
        </w:tc>
        <w:tc>
          <w:tcPr>
            <w:tcW w:w="4915" w:type="dxa"/>
            <w:tcBorders>
              <w:bottom w:val="single" w:sz="4" w:space="0" w:color="000000"/>
            </w:tcBorders>
          </w:tcPr>
          <w:p w14:paraId="74181DDF" w14:textId="77777777" w:rsidR="007341A9" w:rsidRDefault="00DB6351">
            <w:pPr>
              <w:pStyle w:val="TableParagraph"/>
              <w:spacing w:before="2"/>
              <w:ind w:left="1628"/>
              <w:rPr>
                <w:b/>
                <w:sz w:val="24"/>
              </w:rPr>
            </w:pPr>
            <w:r>
              <w:rPr>
                <w:b/>
                <w:sz w:val="24"/>
              </w:rPr>
              <w:t>Appendix Title</w:t>
            </w:r>
          </w:p>
        </w:tc>
        <w:tc>
          <w:tcPr>
            <w:tcW w:w="2342" w:type="dxa"/>
            <w:tcBorders>
              <w:bottom w:val="single" w:sz="4" w:space="0" w:color="000000"/>
            </w:tcBorders>
          </w:tcPr>
          <w:p w14:paraId="5C3EE347" w14:textId="77777777" w:rsidR="007341A9" w:rsidRDefault="00DB6351">
            <w:pPr>
              <w:pStyle w:val="TableParagraph"/>
              <w:spacing w:before="2"/>
              <w:ind w:left="522" w:right="400" w:hanging="87"/>
              <w:rPr>
                <w:b/>
                <w:sz w:val="24"/>
              </w:rPr>
            </w:pPr>
            <w:r>
              <w:rPr>
                <w:b/>
                <w:sz w:val="24"/>
              </w:rPr>
              <w:t>Exempt from Publication</w:t>
            </w:r>
          </w:p>
        </w:tc>
      </w:tr>
      <w:tr w:rsidR="007341A9" w14:paraId="0FB83670" w14:textId="77777777">
        <w:trPr>
          <w:trHeight w:val="395"/>
        </w:trPr>
        <w:tc>
          <w:tcPr>
            <w:tcW w:w="1913" w:type="dxa"/>
            <w:tcBorders>
              <w:top w:val="single" w:sz="4" w:space="0" w:color="000000"/>
              <w:right w:val="single" w:sz="4" w:space="0" w:color="000000"/>
            </w:tcBorders>
          </w:tcPr>
          <w:p w14:paraId="2B714BA4" w14:textId="77777777" w:rsidR="007341A9" w:rsidRDefault="00DB6351">
            <w:pPr>
              <w:pStyle w:val="TableParagraph"/>
              <w:rPr>
                <w:b/>
                <w:sz w:val="24"/>
              </w:rPr>
            </w:pPr>
            <w:r>
              <w:rPr>
                <w:b/>
                <w:sz w:val="24"/>
              </w:rPr>
              <w:t>N/A</w:t>
            </w:r>
          </w:p>
        </w:tc>
        <w:tc>
          <w:tcPr>
            <w:tcW w:w="4915" w:type="dxa"/>
            <w:tcBorders>
              <w:top w:val="single" w:sz="4" w:space="0" w:color="000000"/>
              <w:left w:val="single" w:sz="4" w:space="0" w:color="000000"/>
              <w:right w:val="single" w:sz="4" w:space="0" w:color="000000"/>
            </w:tcBorders>
          </w:tcPr>
          <w:p w14:paraId="346F94BE" w14:textId="77777777" w:rsidR="007341A9" w:rsidRDefault="00DB6351">
            <w:pPr>
              <w:pStyle w:val="TableParagraph"/>
              <w:ind w:left="112"/>
              <w:rPr>
                <w:sz w:val="24"/>
              </w:rPr>
            </w:pPr>
            <w:r>
              <w:rPr>
                <w:sz w:val="24"/>
              </w:rPr>
              <w:t>N/A</w:t>
            </w:r>
          </w:p>
        </w:tc>
        <w:tc>
          <w:tcPr>
            <w:tcW w:w="2342" w:type="dxa"/>
            <w:tcBorders>
              <w:top w:val="single" w:sz="4" w:space="0" w:color="000000"/>
              <w:left w:val="single" w:sz="4" w:space="0" w:color="000000"/>
            </w:tcBorders>
          </w:tcPr>
          <w:p w14:paraId="37A9FF69" w14:textId="77777777" w:rsidR="007341A9" w:rsidRDefault="00DB6351">
            <w:pPr>
              <w:pStyle w:val="TableParagraph"/>
              <w:ind w:left="112"/>
              <w:rPr>
                <w:sz w:val="24"/>
              </w:rPr>
            </w:pPr>
            <w:r>
              <w:rPr>
                <w:sz w:val="24"/>
              </w:rPr>
              <w:t>N/A</w:t>
            </w:r>
          </w:p>
        </w:tc>
      </w:tr>
    </w:tbl>
    <w:p w14:paraId="290D319E" w14:textId="77777777" w:rsidR="007341A9" w:rsidRDefault="007341A9">
      <w:pPr>
        <w:pStyle w:val="BodyText"/>
        <w:rPr>
          <w:i/>
          <w:sz w:val="20"/>
        </w:rPr>
      </w:pPr>
    </w:p>
    <w:p w14:paraId="7A354673" w14:textId="77777777" w:rsidR="007341A9" w:rsidRDefault="007341A9">
      <w:pPr>
        <w:pStyle w:val="BodyText"/>
        <w:spacing w:before="10"/>
        <w:rPr>
          <w:i/>
          <w:sz w:val="16"/>
        </w:rPr>
      </w:pPr>
    </w:p>
    <w:p w14:paraId="68DC91A0" w14:textId="77777777" w:rsidR="007341A9" w:rsidRDefault="00DB6351">
      <w:pPr>
        <w:pStyle w:val="Heading3"/>
        <w:spacing w:before="92"/>
      </w:pPr>
      <w:bookmarkStart w:id="0" w:name="Overview_and_Summary"/>
      <w:bookmarkEnd w:id="0"/>
      <w:r>
        <w:t>Overview and Summary</w:t>
      </w:r>
    </w:p>
    <w:p w14:paraId="70CB9E09" w14:textId="77777777" w:rsidR="007341A9" w:rsidRDefault="00DB6351">
      <w:pPr>
        <w:pStyle w:val="ListParagraph"/>
        <w:numPr>
          <w:ilvl w:val="0"/>
          <w:numId w:val="1"/>
        </w:numPr>
        <w:tabs>
          <w:tab w:val="left" w:pos="624"/>
        </w:tabs>
        <w:ind w:right="1494"/>
        <w:rPr>
          <w:sz w:val="24"/>
        </w:rPr>
      </w:pPr>
      <w:r>
        <w:rPr>
          <w:sz w:val="24"/>
        </w:rPr>
        <w:t>The Scrutiny Committee is asked to endorse the recommendations from the following Working Groups held since the previous</w:t>
      </w:r>
      <w:r>
        <w:rPr>
          <w:spacing w:val="-5"/>
          <w:sz w:val="24"/>
        </w:rPr>
        <w:t xml:space="preserve"> </w:t>
      </w:r>
      <w:r>
        <w:rPr>
          <w:sz w:val="24"/>
        </w:rPr>
        <w:t>meeting:</w:t>
      </w:r>
    </w:p>
    <w:p w14:paraId="4E7AA339" w14:textId="77777777" w:rsidR="007341A9" w:rsidRDefault="007341A9">
      <w:pPr>
        <w:rPr>
          <w:sz w:val="24"/>
        </w:rPr>
        <w:sectPr w:rsidR="007341A9">
          <w:pgSz w:w="11910" w:h="16840"/>
          <w:pgMar w:top="1440" w:right="700" w:bottom="280" w:left="1040" w:header="720" w:footer="720" w:gutter="0"/>
          <w:cols w:space="720"/>
        </w:sectPr>
      </w:pPr>
    </w:p>
    <w:p w14:paraId="51D4A789" w14:textId="77777777" w:rsidR="007341A9" w:rsidRDefault="00DB6351">
      <w:pPr>
        <w:pStyle w:val="Heading3"/>
        <w:spacing w:before="80"/>
        <w:ind w:left="623"/>
      </w:pPr>
      <w:r>
        <w:lastRenderedPageBreak/>
        <w:t>Housing and Homelessness Working Group – 24 June 2025</w:t>
      </w:r>
    </w:p>
    <w:p w14:paraId="662C06D6" w14:textId="77777777" w:rsidR="007341A9" w:rsidRDefault="00DB6351">
      <w:pPr>
        <w:pStyle w:val="ListParagraph"/>
        <w:numPr>
          <w:ilvl w:val="1"/>
          <w:numId w:val="1"/>
        </w:numPr>
        <w:tabs>
          <w:tab w:val="left" w:pos="1703"/>
          <w:tab w:val="left" w:pos="1704"/>
        </w:tabs>
        <w:spacing w:before="121"/>
        <w:ind w:hanging="361"/>
        <w:rPr>
          <w:sz w:val="24"/>
        </w:rPr>
      </w:pPr>
      <w:r>
        <w:rPr>
          <w:sz w:val="24"/>
        </w:rPr>
        <w:t>National Homelessness Property Fund</w:t>
      </w:r>
      <w:r>
        <w:rPr>
          <w:spacing w:val="-2"/>
          <w:sz w:val="24"/>
        </w:rPr>
        <w:t xml:space="preserve"> </w:t>
      </w:r>
      <w:r>
        <w:rPr>
          <w:sz w:val="24"/>
        </w:rPr>
        <w:t>1</w:t>
      </w:r>
    </w:p>
    <w:p w14:paraId="420F384D" w14:textId="77777777" w:rsidR="007341A9" w:rsidRDefault="00DB6351">
      <w:pPr>
        <w:pStyle w:val="ListParagraph"/>
        <w:numPr>
          <w:ilvl w:val="1"/>
          <w:numId w:val="1"/>
        </w:numPr>
        <w:tabs>
          <w:tab w:val="left" w:pos="1703"/>
          <w:tab w:val="left" w:pos="1704"/>
        </w:tabs>
        <w:spacing w:before="116"/>
        <w:ind w:right="1535"/>
        <w:rPr>
          <w:sz w:val="24"/>
        </w:rPr>
      </w:pPr>
      <w:r>
        <w:rPr>
          <w:sz w:val="24"/>
        </w:rPr>
        <w:t>Annual Review of the Housing, Homelessness &amp; Rough Sleeping Strategy</w:t>
      </w:r>
      <w:r>
        <w:rPr>
          <w:spacing w:val="-1"/>
          <w:sz w:val="24"/>
        </w:rPr>
        <w:t xml:space="preserve"> </w:t>
      </w:r>
      <w:r>
        <w:rPr>
          <w:sz w:val="24"/>
        </w:rPr>
        <w:t>2023-28</w:t>
      </w:r>
    </w:p>
    <w:p w14:paraId="5CEFC5C7" w14:textId="77777777" w:rsidR="007341A9" w:rsidRDefault="00DB6351">
      <w:pPr>
        <w:pStyle w:val="ListParagraph"/>
        <w:numPr>
          <w:ilvl w:val="0"/>
          <w:numId w:val="1"/>
        </w:numPr>
        <w:tabs>
          <w:tab w:val="left" w:pos="624"/>
        </w:tabs>
        <w:spacing w:before="118"/>
        <w:ind w:right="706"/>
        <w:rPr>
          <w:sz w:val="24"/>
        </w:rPr>
      </w:pPr>
      <w:r>
        <w:rPr>
          <w:sz w:val="24"/>
        </w:rPr>
        <w:t>Cabinet Members, in consultation with relevant Officers, will either, agree, agree in- part, or disagree with the recommendations. The tables below detail the Working Group’s recommendations for endorsement by the Committee. No table was produced for items where no recommendations were</w:t>
      </w:r>
      <w:r>
        <w:rPr>
          <w:spacing w:val="-5"/>
          <w:sz w:val="24"/>
        </w:rPr>
        <w:t xml:space="preserve"> </w:t>
      </w:r>
      <w:r>
        <w:rPr>
          <w:sz w:val="24"/>
        </w:rPr>
        <w:t>suggested.</w:t>
      </w:r>
    </w:p>
    <w:p w14:paraId="75833B08" w14:textId="77777777" w:rsidR="007341A9" w:rsidRDefault="00DB6351">
      <w:pPr>
        <w:pStyle w:val="ListParagraph"/>
        <w:numPr>
          <w:ilvl w:val="0"/>
          <w:numId w:val="1"/>
        </w:numPr>
        <w:tabs>
          <w:tab w:val="left" w:pos="624"/>
        </w:tabs>
        <w:ind w:hanging="361"/>
        <w:rPr>
          <w:sz w:val="24"/>
        </w:rPr>
      </w:pPr>
      <w:r>
        <w:rPr>
          <w:sz w:val="24"/>
        </w:rPr>
        <w:t>The Housing and Homelessness Working Group would like to</w:t>
      </w:r>
      <w:r>
        <w:rPr>
          <w:spacing w:val="-7"/>
          <w:sz w:val="24"/>
        </w:rPr>
        <w:t xml:space="preserve"> </w:t>
      </w:r>
      <w:r>
        <w:rPr>
          <w:sz w:val="24"/>
        </w:rPr>
        <w:t>record:</w:t>
      </w:r>
    </w:p>
    <w:p w14:paraId="467C96A5" w14:textId="77777777" w:rsidR="007341A9" w:rsidRDefault="00DB6351">
      <w:pPr>
        <w:pStyle w:val="ListParagraph"/>
        <w:numPr>
          <w:ilvl w:val="1"/>
          <w:numId w:val="1"/>
        </w:numPr>
        <w:tabs>
          <w:tab w:val="left" w:pos="1403"/>
          <w:tab w:val="left" w:pos="1404"/>
        </w:tabs>
        <w:spacing w:before="121"/>
        <w:ind w:left="1403" w:right="1569"/>
        <w:rPr>
          <w:sz w:val="24"/>
        </w:rPr>
      </w:pPr>
      <w:r>
        <w:rPr>
          <w:sz w:val="24"/>
        </w:rPr>
        <w:t>Its support for the officer recommendation to roll over the Council’s investments in the NHPF1 into the new “evergreen” property fund in September</w:t>
      </w:r>
      <w:r>
        <w:rPr>
          <w:spacing w:val="-2"/>
          <w:sz w:val="24"/>
        </w:rPr>
        <w:t xml:space="preserve"> </w:t>
      </w:r>
      <w:r>
        <w:rPr>
          <w:sz w:val="24"/>
        </w:rPr>
        <w:t>2025.</w:t>
      </w:r>
    </w:p>
    <w:p w14:paraId="34AC11C8" w14:textId="77777777" w:rsidR="007341A9" w:rsidRDefault="00DB6351">
      <w:pPr>
        <w:pStyle w:val="ListParagraph"/>
        <w:numPr>
          <w:ilvl w:val="1"/>
          <w:numId w:val="1"/>
        </w:numPr>
        <w:tabs>
          <w:tab w:val="left" w:pos="1403"/>
          <w:tab w:val="left" w:pos="1404"/>
        </w:tabs>
        <w:spacing w:before="119"/>
        <w:ind w:left="1403" w:right="769"/>
        <w:rPr>
          <w:sz w:val="24"/>
        </w:rPr>
      </w:pPr>
      <w:r>
        <w:rPr>
          <w:sz w:val="24"/>
        </w:rPr>
        <w:t>In relation to Priority 2 of the Housing, Homelessness &amp; Rough Sleeping Strategy, the Working Group noted that the current target is to process only ‘the majority’ of property licence applications. The Group suggested that target should be to process all property licence</w:t>
      </w:r>
      <w:r>
        <w:rPr>
          <w:spacing w:val="-5"/>
          <w:sz w:val="24"/>
        </w:rPr>
        <w:t xml:space="preserve"> </w:t>
      </w:r>
      <w:r>
        <w:rPr>
          <w:sz w:val="24"/>
        </w:rPr>
        <w:t>applications.</w:t>
      </w:r>
    </w:p>
    <w:p w14:paraId="4832F754" w14:textId="77777777" w:rsidR="007341A9" w:rsidRDefault="00DB6351">
      <w:pPr>
        <w:pStyle w:val="ListParagraph"/>
        <w:numPr>
          <w:ilvl w:val="1"/>
          <w:numId w:val="1"/>
        </w:numPr>
        <w:tabs>
          <w:tab w:val="left" w:pos="1403"/>
          <w:tab w:val="left" w:pos="1404"/>
        </w:tabs>
        <w:spacing w:before="116"/>
        <w:ind w:left="1403" w:right="835"/>
        <w:rPr>
          <w:sz w:val="24"/>
        </w:rPr>
      </w:pPr>
      <w:r>
        <w:rPr>
          <w:sz w:val="24"/>
        </w:rPr>
        <w:t>The Working Group also extended their congratulations to the Housing Needs Team for being named LGC Housing Team of the Year – a well- deserved recognition of their impactful work in preventing homelessness in Oxford.</w:t>
      </w:r>
    </w:p>
    <w:p w14:paraId="66472AE7" w14:textId="77777777" w:rsidR="007341A9" w:rsidRDefault="00DB6351">
      <w:pPr>
        <w:pStyle w:val="ListParagraph"/>
        <w:numPr>
          <w:ilvl w:val="0"/>
          <w:numId w:val="1"/>
        </w:numPr>
        <w:tabs>
          <w:tab w:val="left" w:pos="624"/>
        </w:tabs>
        <w:spacing w:before="119"/>
        <w:ind w:right="774"/>
        <w:rPr>
          <w:sz w:val="24"/>
        </w:rPr>
      </w:pPr>
      <w:r>
        <w:rPr>
          <w:sz w:val="24"/>
        </w:rPr>
        <w:t>The Working Groups wish to thank Cabinet Members and Officers who contributed to the presentation of reports and</w:t>
      </w:r>
      <w:r>
        <w:rPr>
          <w:spacing w:val="-4"/>
          <w:sz w:val="24"/>
        </w:rPr>
        <w:t xml:space="preserve"> </w:t>
      </w:r>
      <w:r>
        <w:rPr>
          <w:sz w:val="24"/>
        </w:rPr>
        <w:t>discussions.</w:t>
      </w:r>
    </w:p>
    <w:p w14:paraId="5345D481" w14:textId="77777777" w:rsidR="007341A9" w:rsidRDefault="007341A9">
      <w:pPr>
        <w:pStyle w:val="BodyText"/>
        <w:spacing w:before="9"/>
        <w:rPr>
          <w:sz w:val="20"/>
        </w:rPr>
      </w:pPr>
    </w:p>
    <w:p w14:paraId="38F64AFB" w14:textId="77777777" w:rsidR="007341A9" w:rsidRDefault="00DB6351">
      <w:pPr>
        <w:pStyle w:val="Heading3"/>
        <w:spacing w:before="1"/>
      </w:pPr>
      <w:r>
        <w:t>Financial implications</w:t>
      </w:r>
    </w:p>
    <w:p w14:paraId="5BA74B29" w14:textId="77777777" w:rsidR="007341A9" w:rsidRDefault="00DB6351">
      <w:pPr>
        <w:pStyle w:val="ListParagraph"/>
        <w:numPr>
          <w:ilvl w:val="0"/>
          <w:numId w:val="1"/>
        </w:numPr>
        <w:tabs>
          <w:tab w:val="left" w:pos="624"/>
        </w:tabs>
        <w:ind w:right="961"/>
        <w:rPr>
          <w:sz w:val="24"/>
        </w:rPr>
      </w:pPr>
      <w:r>
        <w:rPr>
          <w:sz w:val="24"/>
        </w:rPr>
        <w:t>Financial implications for the reports listed above were outlined within the reports presented at Working</w:t>
      </w:r>
      <w:r>
        <w:rPr>
          <w:spacing w:val="-8"/>
          <w:sz w:val="24"/>
        </w:rPr>
        <w:t xml:space="preserve"> </w:t>
      </w:r>
      <w:r>
        <w:rPr>
          <w:sz w:val="24"/>
        </w:rPr>
        <w:t>Groups.</w:t>
      </w:r>
    </w:p>
    <w:p w14:paraId="3BFB44C7" w14:textId="77777777" w:rsidR="007341A9" w:rsidRDefault="007341A9">
      <w:pPr>
        <w:pStyle w:val="BodyText"/>
        <w:spacing w:before="10"/>
        <w:rPr>
          <w:sz w:val="20"/>
        </w:rPr>
      </w:pPr>
    </w:p>
    <w:p w14:paraId="318A5AD0" w14:textId="77777777" w:rsidR="007341A9" w:rsidRDefault="00DB6351">
      <w:pPr>
        <w:pStyle w:val="Heading3"/>
      </w:pPr>
      <w:r>
        <w:t>Legal issues</w:t>
      </w:r>
    </w:p>
    <w:p w14:paraId="23CAB335" w14:textId="77777777" w:rsidR="007341A9" w:rsidRDefault="00DB6351">
      <w:pPr>
        <w:pStyle w:val="ListParagraph"/>
        <w:numPr>
          <w:ilvl w:val="0"/>
          <w:numId w:val="1"/>
        </w:numPr>
        <w:tabs>
          <w:tab w:val="left" w:pos="624"/>
        </w:tabs>
        <w:ind w:right="1333"/>
        <w:rPr>
          <w:sz w:val="24"/>
        </w:rPr>
      </w:pPr>
      <w:r>
        <w:rPr>
          <w:sz w:val="24"/>
        </w:rPr>
        <w:t>Legal implications for the reports listed above were outlined within the reports presented at Working</w:t>
      </w:r>
      <w:r>
        <w:rPr>
          <w:spacing w:val="-8"/>
          <w:sz w:val="24"/>
        </w:rPr>
        <w:t xml:space="preserve"> </w:t>
      </w:r>
      <w:r>
        <w:rPr>
          <w:sz w:val="24"/>
        </w:rPr>
        <w:t>Groups.</w:t>
      </w:r>
    </w:p>
    <w:p w14:paraId="3249C355" w14:textId="77777777" w:rsidR="007341A9" w:rsidRDefault="007341A9">
      <w:pPr>
        <w:pStyle w:val="BodyText"/>
        <w:spacing w:before="10"/>
        <w:rPr>
          <w:sz w:val="20"/>
        </w:rPr>
      </w:pPr>
    </w:p>
    <w:p w14:paraId="52D76DDE" w14:textId="77777777" w:rsidR="007341A9" w:rsidRDefault="00DB6351">
      <w:pPr>
        <w:pStyle w:val="Heading3"/>
      </w:pPr>
      <w:r>
        <w:t>Level of risk</w:t>
      </w:r>
    </w:p>
    <w:p w14:paraId="2D9EBD42" w14:textId="77777777" w:rsidR="007341A9" w:rsidRDefault="00DB6351">
      <w:pPr>
        <w:pStyle w:val="ListParagraph"/>
        <w:numPr>
          <w:ilvl w:val="0"/>
          <w:numId w:val="1"/>
        </w:numPr>
        <w:tabs>
          <w:tab w:val="left" w:pos="624"/>
        </w:tabs>
        <w:ind w:right="747"/>
        <w:rPr>
          <w:sz w:val="24"/>
        </w:rPr>
      </w:pPr>
      <w:r>
        <w:rPr>
          <w:sz w:val="24"/>
        </w:rPr>
        <w:t>Risk Registers, where appropriate, were linked to the reports presented at Working Groups.</w:t>
      </w:r>
    </w:p>
    <w:p w14:paraId="3DCF5E20" w14:textId="77777777" w:rsidR="007341A9" w:rsidRDefault="007341A9">
      <w:pPr>
        <w:pStyle w:val="BodyText"/>
        <w:spacing w:before="10"/>
        <w:rPr>
          <w:sz w:val="20"/>
        </w:rPr>
      </w:pPr>
    </w:p>
    <w:p w14:paraId="575AC099" w14:textId="77777777" w:rsidR="007341A9" w:rsidRDefault="00DB6351">
      <w:pPr>
        <w:pStyle w:val="Heading3"/>
      </w:pPr>
      <w:r>
        <w:t>Equalities impact</w:t>
      </w:r>
    </w:p>
    <w:p w14:paraId="4F9B98A7" w14:textId="77777777" w:rsidR="007341A9" w:rsidRDefault="00DB6351">
      <w:pPr>
        <w:pStyle w:val="ListParagraph"/>
        <w:numPr>
          <w:ilvl w:val="0"/>
          <w:numId w:val="1"/>
        </w:numPr>
        <w:tabs>
          <w:tab w:val="left" w:pos="624"/>
        </w:tabs>
        <w:ind w:right="1321"/>
        <w:rPr>
          <w:sz w:val="24"/>
        </w:rPr>
      </w:pPr>
      <w:r>
        <w:rPr>
          <w:sz w:val="24"/>
        </w:rPr>
        <w:t>Equalities Impact Assessments, where appropriate, were linked to the reports presented at Working</w:t>
      </w:r>
      <w:r>
        <w:rPr>
          <w:spacing w:val="-8"/>
          <w:sz w:val="24"/>
        </w:rPr>
        <w:t xml:space="preserve"> </w:t>
      </w:r>
      <w:r>
        <w:rPr>
          <w:sz w:val="24"/>
        </w:rPr>
        <w:t>Groups.</w:t>
      </w:r>
    </w:p>
    <w:p w14:paraId="1F3C2E2A" w14:textId="77777777" w:rsidR="007341A9" w:rsidRDefault="007341A9">
      <w:pPr>
        <w:pStyle w:val="BodyText"/>
        <w:spacing w:before="10"/>
        <w:rPr>
          <w:sz w:val="20"/>
        </w:rPr>
      </w:pPr>
    </w:p>
    <w:p w14:paraId="62C3BF85" w14:textId="77777777" w:rsidR="007341A9" w:rsidRDefault="00DB6351">
      <w:pPr>
        <w:pStyle w:val="Heading3"/>
      </w:pPr>
      <w:r>
        <w:t>Carbon and Environmental Considerations</w:t>
      </w:r>
    </w:p>
    <w:p w14:paraId="0A974F59" w14:textId="77777777" w:rsidR="007341A9" w:rsidRDefault="00DB6351">
      <w:pPr>
        <w:pStyle w:val="ListParagraph"/>
        <w:numPr>
          <w:ilvl w:val="0"/>
          <w:numId w:val="1"/>
        </w:numPr>
        <w:tabs>
          <w:tab w:val="left" w:pos="624"/>
        </w:tabs>
        <w:ind w:right="1174"/>
        <w:rPr>
          <w:sz w:val="24"/>
        </w:rPr>
      </w:pPr>
      <w:r>
        <w:rPr>
          <w:sz w:val="24"/>
        </w:rPr>
        <w:t>Consideration for Carbon and Environmental impacts, where appropriate, were linked to the reports presented at Working</w:t>
      </w:r>
      <w:r>
        <w:rPr>
          <w:spacing w:val="-3"/>
          <w:sz w:val="24"/>
        </w:rPr>
        <w:t xml:space="preserve"> </w:t>
      </w:r>
      <w:r>
        <w:rPr>
          <w:sz w:val="24"/>
        </w:rPr>
        <w:t>Groups.</w:t>
      </w:r>
    </w:p>
    <w:p w14:paraId="69CBD0BD" w14:textId="77777777" w:rsidR="007341A9" w:rsidRDefault="007341A9">
      <w:pPr>
        <w:rPr>
          <w:sz w:val="24"/>
        </w:rPr>
        <w:sectPr w:rsidR="007341A9">
          <w:pgSz w:w="11910" w:h="16840"/>
          <w:pgMar w:top="1320" w:right="700" w:bottom="280" w:left="1040" w:header="720" w:footer="720" w:gutter="0"/>
          <w:cols w:space="720"/>
        </w:sectPr>
      </w:pPr>
    </w:p>
    <w:tbl>
      <w:tblPr>
        <w:tblW w:w="0" w:type="auto"/>
        <w:tblInd w:w="391" w:type="dxa"/>
        <w:tblLayout w:type="fixed"/>
        <w:tblCellMar>
          <w:left w:w="0" w:type="dxa"/>
          <w:right w:w="0" w:type="dxa"/>
        </w:tblCellMar>
        <w:tblLook w:val="01E0" w:firstRow="1" w:lastRow="1" w:firstColumn="1" w:lastColumn="1" w:noHBand="0" w:noVBand="0"/>
      </w:tblPr>
      <w:tblGrid>
        <w:gridCol w:w="3546"/>
        <w:gridCol w:w="5384"/>
      </w:tblGrid>
      <w:tr w:rsidR="007341A9" w14:paraId="5291F994" w14:textId="77777777">
        <w:trPr>
          <w:trHeight w:val="395"/>
        </w:trPr>
        <w:tc>
          <w:tcPr>
            <w:tcW w:w="3546" w:type="dxa"/>
            <w:tcBorders>
              <w:top w:val="single" w:sz="8" w:space="0" w:color="000000"/>
              <w:left w:val="single" w:sz="8" w:space="0" w:color="000000"/>
              <w:bottom w:val="single" w:sz="8" w:space="0" w:color="000000"/>
            </w:tcBorders>
          </w:tcPr>
          <w:p w14:paraId="4B13C078" w14:textId="77777777" w:rsidR="007341A9" w:rsidRDefault="00DB6351">
            <w:pPr>
              <w:pStyle w:val="TableParagraph"/>
              <w:rPr>
                <w:b/>
                <w:sz w:val="24"/>
              </w:rPr>
            </w:pPr>
            <w:r>
              <w:rPr>
                <w:b/>
                <w:sz w:val="24"/>
              </w:rPr>
              <w:lastRenderedPageBreak/>
              <w:t>Report author</w:t>
            </w:r>
          </w:p>
        </w:tc>
        <w:tc>
          <w:tcPr>
            <w:tcW w:w="5384" w:type="dxa"/>
            <w:tcBorders>
              <w:top w:val="single" w:sz="8" w:space="0" w:color="000000"/>
              <w:bottom w:val="single" w:sz="8" w:space="0" w:color="000000"/>
              <w:right w:val="single" w:sz="8" w:space="0" w:color="000000"/>
            </w:tcBorders>
          </w:tcPr>
          <w:p w14:paraId="4FCBA551" w14:textId="77777777" w:rsidR="007341A9" w:rsidRDefault="00DB6351">
            <w:pPr>
              <w:pStyle w:val="TableParagraph"/>
              <w:ind w:left="541"/>
              <w:rPr>
                <w:sz w:val="24"/>
              </w:rPr>
            </w:pPr>
            <w:r>
              <w:rPr>
                <w:sz w:val="24"/>
              </w:rPr>
              <w:t>Celeste Reyeslao</w:t>
            </w:r>
          </w:p>
        </w:tc>
      </w:tr>
      <w:tr w:rsidR="007341A9" w14:paraId="793B518B" w14:textId="77777777">
        <w:trPr>
          <w:trHeight w:val="341"/>
        </w:trPr>
        <w:tc>
          <w:tcPr>
            <w:tcW w:w="3546" w:type="dxa"/>
            <w:tcBorders>
              <w:top w:val="single" w:sz="8" w:space="0" w:color="000000"/>
              <w:left w:val="single" w:sz="8" w:space="0" w:color="000000"/>
            </w:tcBorders>
          </w:tcPr>
          <w:p w14:paraId="452084D9" w14:textId="77777777" w:rsidR="007341A9" w:rsidRDefault="00DB6351">
            <w:pPr>
              <w:pStyle w:val="TableParagraph"/>
              <w:rPr>
                <w:sz w:val="24"/>
              </w:rPr>
            </w:pPr>
            <w:r>
              <w:rPr>
                <w:sz w:val="24"/>
              </w:rPr>
              <w:t>Job title</w:t>
            </w:r>
          </w:p>
        </w:tc>
        <w:tc>
          <w:tcPr>
            <w:tcW w:w="5384" w:type="dxa"/>
            <w:tcBorders>
              <w:top w:val="single" w:sz="8" w:space="0" w:color="000000"/>
              <w:right w:val="single" w:sz="8" w:space="0" w:color="000000"/>
            </w:tcBorders>
          </w:tcPr>
          <w:p w14:paraId="0B9549C2" w14:textId="77777777" w:rsidR="007341A9" w:rsidRDefault="00DB6351">
            <w:pPr>
              <w:pStyle w:val="TableParagraph"/>
              <w:ind w:left="541"/>
              <w:rPr>
                <w:sz w:val="24"/>
              </w:rPr>
            </w:pPr>
            <w:r>
              <w:rPr>
                <w:sz w:val="24"/>
              </w:rPr>
              <w:t>Scrutiny and Governance Advisor</w:t>
            </w:r>
          </w:p>
        </w:tc>
      </w:tr>
      <w:tr w:rsidR="007341A9" w14:paraId="6041A406" w14:textId="77777777">
        <w:trPr>
          <w:trHeight w:val="397"/>
        </w:trPr>
        <w:tc>
          <w:tcPr>
            <w:tcW w:w="3546" w:type="dxa"/>
            <w:tcBorders>
              <w:left w:val="single" w:sz="8" w:space="0" w:color="000000"/>
            </w:tcBorders>
          </w:tcPr>
          <w:p w14:paraId="73B438EE" w14:textId="77777777" w:rsidR="007341A9" w:rsidRDefault="00DB6351">
            <w:pPr>
              <w:pStyle w:val="TableParagraph"/>
              <w:spacing w:before="57"/>
              <w:rPr>
                <w:sz w:val="24"/>
              </w:rPr>
            </w:pPr>
            <w:r>
              <w:rPr>
                <w:sz w:val="24"/>
              </w:rPr>
              <w:t>Service area or department</w:t>
            </w:r>
          </w:p>
        </w:tc>
        <w:tc>
          <w:tcPr>
            <w:tcW w:w="5384" w:type="dxa"/>
            <w:tcBorders>
              <w:right w:val="single" w:sz="8" w:space="0" w:color="000000"/>
            </w:tcBorders>
          </w:tcPr>
          <w:p w14:paraId="63F8F0FA" w14:textId="77777777" w:rsidR="007341A9" w:rsidRDefault="00DB6351">
            <w:pPr>
              <w:pStyle w:val="TableParagraph"/>
              <w:spacing w:before="57"/>
              <w:ind w:left="541"/>
              <w:rPr>
                <w:sz w:val="24"/>
              </w:rPr>
            </w:pPr>
            <w:r>
              <w:rPr>
                <w:sz w:val="24"/>
              </w:rPr>
              <w:t>Law, Governance and Strategy</w:t>
            </w:r>
          </w:p>
        </w:tc>
      </w:tr>
      <w:tr w:rsidR="007341A9" w14:paraId="6FF7A69B" w14:textId="77777777">
        <w:trPr>
          <w:trHeight w:val="396"/>
        </w:trPr>
        <w:tc>
          <w:tcPr>
            <w:tcW w:w="3546" w:type="dxa"/>
            <w:tcBorders>
              <w:left w:val="single" w:sz="8" w:space="0" w:color="000000"/>
            </w:tcBorders>
          </w:tcPr>
          <w:p w14:paraId="513E6806" w14:textId="77777777" w:rsidR="007341A9" w:rsidRDefault="00DB6351">
            <w:pPr>
              <w:pStyle w:val="TableParagraph"/>
              <w:spacing w:before="56"/>
              <w:rPr>
                <w:sz w:val="24"/>
              </w:rPr>
            </w:pPr>
            <w:r>
              <w:rPr>
                <w:sz w:val="24"/>
              </w:rPr>
              <w:t>Telephone</w:t>
            </w:r>
          </w:p>
        </w:tc>
        <w:tc>
          <w:tcPr>
            <w:tcW w:w="5384" w:type="dxa"/>
            <w:tcBorders>
              <w:right w:val="single" w:sz="8" w:space="0" w:color="000000"/>
            </w:tcBorders>
          </w:tcPr>
          <w:p w14:paraId="622992F5" w14:textId="77777777" w:rsidR="007341A9" w:rsidRDefault="00DB6351">
            <w:pPr>
              <w:pStyle w:val="TableParagraph"/>
              <w:spacing w:before="56"/>
              <w:ind w:left="541"/>
              <w:rPr>
                <w:sz w:val="24"/>
              </w:rPr>
            </w:pPr>
            <w:r>
              <w:rPr>
                <w:sz w:val="24"/>
              </w:rPr>
              <w:t>01865 252946</w:t>
            </w:r>
          </w:p>
        </w:tc>
      </w:tr>
      <w:tr w:rsidR="007341A9" w14:paraId="3CD41186" w14:textId="77777777">
        <w:trPr>
          <w:trHeight w:val="451"/>
        </w:trPr>
        <w:tc>
          <w:tcPr>
            <w:tcW w:w="3546" w:type="dxa"/>
            <w:tcBorders>
              <w:left w:val="single" w:sz="8" w:space="0" w:color="000000"/>
              <w:bottom w:val="single" w:sz="8" w:space="0" w:color="000000"/>
            </w:tcBorders>
          </w:tcPr>
          <w:p w14:paraId="0ABF6DD7" w14:textId="77777777" w:rsidR="007341A9" w:rsidRDefault="00DB6351">
            <w:pPr>
              <w:pStyle w:val="TableParagraph"/>
              <w:spacing w:before="56"/>
              <w:rPr>
                <w:sz w:val="24"/>
              </w:rPr>
            </w:pPr>
            <w:r>
              <w:rPr>
                <w:sz w:val="24"/>
              </w:rPr>
              <w:t>e-mail</w:t>
            </w:r>
          </w:p>
        </w:tc>
        <w:tc>
          <w:tcPr>
            <w:tcW w:w="5384" w:type="dxa"/>
            <w:tcBorders>
              <w:bottom w:val="single" w:sz="8" w:space="0" w:color="000000"/>
              <w:right w:val="single" w:sz="8" w:space="0" w:color="000000"/>
            </w:tcBorders>
          </w:tcPr>
          <w:p w14:paraId="6CE58960" w14:textId="77777777" w:rsidR="007341A9" w:rsidRDefault="00DB6351">
            <w:pPr>
              <w:pStyle w:val="TableParagraph"/>
              <w:spacing w:before="56"/>
              <w:ind w:left="541"/>
              <w:rPr>
                <w:sz w:val="24"/>
              </w:rPr>
            </w:pPr>
            <w:hyperlink r:id="rId6">
              <w:r>
                <w:rPr>
                  <w:color w:val="0000FF"/>
                  <w:sz w:val="24"/>
                  <w:u w:val="single" w:color="0000FF"/>
                </w:rPr>
                <w:t>creyeslao@oxford.gov.uk</w:t>
              </w:r>
            </w:hyperlink>
          </w:p>
        </w:tc>
      </w:tr>
    </w:tbl>
    <w:p w14:paraId="2EB12004" w14:textId="77777777" w:rsidR="007341A9" w:rsidRDefault="007341A9">
      <w:pPr>
        <w:rPr>
          <w:sz w:val="24"/>
        </w:rPr>
        <w:sectPr w:rsidR="007341A9">
          <w:pgSz w:w="11910" w:h="16840"/>
          <w:pgMar w:top="1400" w:right="700" w:bottom="280" w:left="1040" w:header="720" w:footer="720" w:gutter="0"/>
          <w:cols w:space="720"/>
        </w:sectPr>
      </w:pPr>
    </w:p>
    <w:p w14:paraId="5C26073A" w14:textId="77777777" w:rsidR="007341A9" w:rsidRDefault="00DB6351">
      <w:pPr>
        <w:spacing w:before="67" w:line="328" w:lineRule="auto"/>
        <w:ind w:left="1716" w:right="1885" w:firstLine="76"/>
        <w:rPr>
          <w:b/>
          <w:sz w:val="28"/>
        </w:rPr>
      </w:pPr>
      <w:r>
        <w:rPr>
          <w:b/>
          <w:sz w:val="28"/>
        </w:rPr>
        <w:lastRenderedPageBreak/>
        <w:t>Table 1 – Recommendations of the Housing and Homelessness Working Group – Annual Review of the Housing, Homelessness &amp; Rough Sleeping Strategy 2023-28</w:t>
      </w:r>
    </w:p>
    <w:p w14:paraId="39F02ABD" w14:textId="77777777" w:rsidR="007341A9" w:rsidRDefault="007341A9">
      <w:pPr>
        <w:pStyle w:val="BodyText"/>
        <w:spacing w:before="7"/>
        <w:rPr>
          <w:b/>
          <w:sz w:val="38"/>
        </w:rPr>
      </w:pPr>
    </w:p>
    <w:p w14:paraId="4DA4795D" w14:textId="77777777" w:rsidR="007341A9" w:rsidRDefault="00DB6351">
      <w:pPr>
        <w:pStyle w:val="BodyText"/>
        <w:spacing w:before="1"/>
        <w:ind w:left="112" w:right="994"/>
      </w:pPr>
      <w:r>
        <w:t>The table below sets out the recommendations made by the Housing and Homelessness Working Group on 24 June 2025 for endorsement by the Scrutiny Committee at its meeting on 1 July 2025. The Cabinet will be asked to amend and agree a formal response as appropriate.</w:t>
      </w:r>
    </w:p>
    <w:p w14:paraId="39D0C36C" w14:textId="77777777" w:rsidR="007341A9" w:rsidRDefault="007341A9">
      <w:pPr>
        <w:pStyle w:val="BodyText"/>
        <w:rPr>
          <w:sz w:val="20"/>
        </w:rPr>
      </w:pPr>
    </w:p>
    <w:p w14:paraId="18E5C986" w14:textId="77777777" w:rsidR="007341A9" w:rsidRDefault="007341A9">
      <w:pPr>
        <w:pStyle w:val="BodyText"/>
        <w:rPr>
          <w:sz w:val="2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9"/>
        <w:gridCol w:w="1135"/>
        <w:gridCol w:w="6547"/>
      </w:tblGrid>
      <w:tr w:rsidR="007341A9" w14:paraId="79EAA937" w14:textId="77777777">
        <w:trPr>
          <w:trHeight w:val="395"/>
        </w:trPr>
        <w:tc>
          <w:tcPr>
            <w:tcW w:w="6629" w:type="dxa"/>
            <w:shd w:val="clear" w:color="auto" w:fill="D9D9D9"/>
          </w:tcPr>
          <w:p w14:paraId="4270D180" w14:textId="77777777" w:rsidR="007341A9" w:rsidRDefault="00DB6351">
            <w:pPr>
              <w:pStyle w:val="TableParagraph"/>
              <w:ind w:left="110"/>
              <w:rPr>
                <w:b/>
                <w:i/>
                <w:sz w:val="24"/>
              </w:rPr>
            </w:pPr>
            <w:r>
              <w:rPr>
                <w:b/>
                <w:i/>
                <w:sz w:val="24"/>
              </w:rPr>
              <w:t>Recommendations</w:t>
            </w:r>
          </w:p>
        </w:tc>
        <w:tc>
          <w:tcPr>
            <w:tcW w:w="1135" w:type="dxa"/>
            <w:shd w:val="clear" w:color="auto" w:fill="D9D9D9"/>
          </w:tcPr>
          <w:p w14:paraId="7D2201B3" w14:textId="77777777" w:rsidR="007341A9" w:rsidRDefault="00DB6351">
            <w:pPr>
              <w:pStyle w:val="TableParagraph"/>
              <w:ind w:left="110"/>
              <w:rPr>
                <w:b/>
                <w:i/>
                <w:sz w:val="24"/>
              </w:rPr>
            </w:pPr>
            <w:r>
              <w:rPr>
                <w:b/>
                <w:i/>
                <w:sz w:val="24"/>
              </w:rPr>
              <w:t>Agree?</w:t>
            </w:r>
          </w:p>
        </w:tc>
        <w:tc>
          <w:tcPr>
            <w:tcW w:w="6547" w:type="dxa"/>
            <w:shd w:val="clear" w:color="auto" w:fill="D9D9D9"/>
          </w:tcPr>
          <w:p w14:paraId="1CA826F1" w14:textId="77777777" w:rsidR="007341A9" w:rsidRDefault="00DB6351">
            <w:pPr>
              <w:pStyle w:val="TableParagraph"/>
              <w:rPr>
                <w:b/>
                <w:i/>
                <w:sz w:val="24"/>
              </w:rPr>
            </w:pPr>
            <w:r>
              <w:rPr>
                <w:b/>
                <w:i/>
                <w:sz w:val="24"/>
              </w:rPr>
              <w:t>Comment</w:t>
            </w:r>
          </w:p>
        </w:tc>
      </w:tr>
      <w:tr w:rsidR="007341A9" w14:paraId="7D3B3260" w14:textId="77777777">
        <w:trPr>
          <w:trHeight w:val="1607"/>
        </w:trPr>
        <w:tc>
          <w:tcPr>
            <w:tcW w:w="6629" w:type="dxa"/>
          </w:tcPr>
          <w:p w14:paraId="3A6A8FA1" w14:textId="77777777" w:rsidR="007341A9" w:rsidRDefault="00DB6351">
            <w:pPr>
              <w:pStyle w:val="TableParagraph"/>
              <w:spacing w:line="252" w:lineRule="auto"/>
              <w:ind w:left="470" w:right="165" w:hanging="360"/>
              <w:rPr>
                <w:sz w:val="24"/>
              </w:rPr>
            </w:pPr>
            <w:r>
              <w:rPr>
                <w:sz w:val="24"/>
              </w:rPr>
              <w:t xml:space="preserve">1) That Cabinet </w:t>
            </w:r>
            <w:proofErr w:type="gramStart"/>
            <w:r>
              <w:rPr>
                <w:sz w:val="24"/>
              </w:rPr>
              <w:t>continue</w:t>
            </w:r>
            <w:proofErr w:type="gramEnd"/>
            <w:r>
              <w:rPr>
                <w:sz w:val="24"/>
              </w:rPr>
              <w:t xml:space="preserve"> to actively lobby against changes to local government funding for homelessness services, particularly those that would result in significant funding reductions for Oxford and other local authorities with high levels of homelessness.</w:t>
            </w:r>
          </w:p>
        </w:tc>
        <w:tc>
          <w:tcPr>
            <w:tcW w:w="1135" w:type="dxa"/>
          </w:tcPr>
          <w:p w14:paraId="2514D5A7" w14:textId="77777777" w:rsidR="007341A9" w:rsidRDefault="007341A9">
            <w:pPr>
              <w:pStyle w:val="TableParagraph"/>
              <w:ind w:left="0"/>
              <w:rPr>
                <w:rFonts w:ascii="Times New Roman"/>
                <w:sz w:val="24"/>
              </w:rPr>
            </w:pPr>
          </w:p>
        </w:tc>
        <w:tc>
          <w:tcPr>
            <w:tcW w:w="6547" w:type="dxa"/>
          </w:tcPr>
          <w:p w14:paraId="2B552A0E" w14:textId="77777777" w:rsidR="007341A9" w:rsidRDefault="007341A9">
            <w:pPr>
              <w:pStyle w:val="TableParagraph"/>
              <w:ind w:left="0"/>
              <w:rPr>
                <w:rFonts w:ascii="Times New Roman"/>
                <w:sz w:val="24"/>
              </w:rPr>
            </w:pPr>
          </w:p>
        </w:tc>
      </w:tr>
      <w:tr w:rsidR="007341A9" w14:paraId="1AB944A5" w14:textId="77777777">
        <w:trPr>
          <w:trHeight w:val="1060"/>
        </w:trPr>
        <w:tc>
          <w:tcPr>
            <w:tcW w:w="6629" w:type="dxa"/>
          </w:tcPr>
          <w:p w14:paraId="63087E2A" w14:textId="77777777" w:rsidR="007341A9" w:rsidRDefault="00DB6351">
            <w:pPr>
              <w:pStyle w:val="TableParagraph"/>
              <w:spacing w:line="252" w:lineRule="auto"/>
              <w:ind w:left="470" w:hanging="360"/>
              <w:rPr>
                <w:sz w:val="24"/>
              </w:rPr>
            </w:pPr>
            <w:r>
              <w:rPr>
                <w:sz w:val="24"/>
              </w:rPr>
              <w:t xml:space="preserve">2) That Council </w:t>
            </w:r>
            <w:proofErr w:type="gramStart"/>
            <w:r>
              <w:rPr>
                <w:sz w:val="24"/>
              </w:rPr>
              <w:t>explore</w:t>
            </w:r>
            <w:proofErr w:type="gramEnd"/>
            <w:r>
              <w:rPr>
                <w:sz w:val="24"/>
              </w:rPr>
              <w:t xml:space="preserve"> all available measures to safeguard tenants from unjust or revenge evictions pending the passage of the Renters’ Rights Bill.</w:t>
            </w:r>
          </w:p>
        </w:tc>
        <w:tc>
          <w:tcPr>
            <w:tcW w:w="1135" w:type="dxa"/>
          </w:tcPr>
          <w:p w14:paraId="57DD03AC" w14:textId="77777777" w:rsidR="007341A9" w:rsidRDefault="007341A9">
            <w:pPr>
              <w:pStyle w:val="TableParagraph"/>
              <w:ind w:left="0"/>
              <w:rPr>
                <w:rFonts w:ascii="Times New Roman"/>
                <w:sz w:val="24"/>
              </w:rPr>
            </w:pPr>
          </w:p>
        </w:tc>
        <w:tc>
          <w:tcPr>
            <w:tcW w:w="6547" w:type="dxa"/>
          </w:tcPr>
          <w:p w14:paraId="54E2C556" w14:textId="77777777" w:rsidR="007341A9" w:rsidRDefault="007341A9">
            <w:pPr>
              <w:pStyle w:val="TableParagraph"/>
              <w:ind w:left="0"/>
              <w:rPr>
                <w:rFonts w:ascii="Times New Roman"/>
                <w:sz w:val="24"/>
              </w:rPr>
            </w:pPr>
          </w:p>
        </w:tc>
      </w:tr>
    </w:tbl>
    <w:p w14:paraId="508B1D98" w14:textId="77777777" w:rsidR="00DB6351" w:rsidRDefault="00DB6351"/>
    <w:sectPr w:rsidR="00000000">
      <w:pgSz w:w="16840" w:h="11910" w:orient="landscape"/>
      <w:pgMar w:top="1060" w:right="12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16F05"/>
    <w:multiLevelType w:val="hybridMultilevel"/>
    <w:tmpl w:val="E2709FDE"/>
    <w:lvl w:ilvl="0" w:tplc="ADFE9C5A">
      <w:numFmt w:val="bullet"/>
      <w:lvlText w:val=""/>
      <w:lvlJc w:val="left"/>
      <w:pPr>
        <w:ind w:left="1025" w:hanging="360"/>
      </w:pPr>
      <w:rPr>
        <w:rFonts w:ascii="Symbol" w:eastAsia="Symbol" w:hAnsi="Symbol" w:cs="Symbol" w:hint="default"/>
        <w:w w:val="100"/>
        <w:sz w:val="24"/>
        <w:szCs w:val="24"/>
        <w:lang w:val="en-GB" w:eastAsia="en-GB" w:bidi="en-GB"/>
      </w:rPr>
    </w:lvl>
    <w:lvl w:ilvl="1" w:tplc="A5E26FF6">
      <w:numFmt w:val="bullet"/>
      <w:lvlText w:val="•"/>
      <w:lvlJc w:val="left"/>
      <w:pPr>
        <w:ind w:left="1818" w:hanging="360"/>
      </w:pPr>
      <w:rPr>
        <w:rFonts w:hint="default"/>
        <w:lang w:val="en-GB" w:eastAsia="en-GB" w:bidi="en-GB"/>
      </w:rPr>
    </w:lvl>
    <w:lvl w:ilvl="2" w:tplc="96CA2D40">
      <w:numFmt w:val="bullet"/>
      <w:lvlText w:val="•"/>
      <w:lvlJc w:val="left"/>
      <w:pPr>
        <w:ind w:left="2616" w:hanging="360"/>
      </w:pPr>
      <w:rPr>
        <w:rFonts w:hint="default"/>
        <w:lang w:val="en-GB" w:eastAsia="en-GB" w:bidi="en-GB"/>
      </w:rPr>
    </w:lvl>
    <w:lvl w:ilvl="3" w:tplc="7FE60C60">
      <w:numFmt w:val="bullet"/>
      <w:lvlText w:val="•"/>
      <w:lvlJc w:val="left"/>
      <w:pPr>
        <w:ind w:left="3415" w:hanging="360"/>
      </w:pPr>
      <w:rPr>
        <w:rFonts w:hint="default"/>
        <w:lang w:val="en-GB" w:eastAsia="en-GB" w:bidi="en-GB"/>
      </w:rPr>
    </w:lvl>
    <w:lvl w:ilvl="4" w:tplc="27B227C0">
      <w:numFmt w:val="bullet"/>
      <w:lvlText w:val="•"/>
      <w:lvlJc w:val="left"/>
      <w:pPr>
        <w:ind w:left="4213" w:hanging="360"/>
      </w:pPr>
      <w:rPr>
        <w:rFonts w:hint="default"/>
        <w:lang w:val="en-GB" w:eastAsia="en-GB" w:bidi="en-GB"/>
      </w:rPr>
    </w:lvl>
    <w:lvl w:ilvl="5" w:tplc="42FC15C0">
      <w:numFmt w:val="bullet"/>
      <w:lvlText w:val="•"/>
      <w:lvlJc w:val="left"/>
      <w:pPr>
        <w:ind w:left="5012" w:hanging="360"/>
      </w:pPr>
      <w:rPr>
        <w:rFonts w:hint="default"/>
        <w:lang w:val="en-GB" w:eastAsia="en-GB" w:bidi="en-GB"/>
      </w:rPr>
    </w:lvl>
    <w:lvl w:ilvl="6" w:tplc="D930959A">
      <w:numFmt w:val="bullet"/>
      <w:lvlText w:val="•"/>
      <w:lvlJc w:val="left"/>
      <w:pPr>
        <w:ind w:left="5810" w:hanging="360"/>
      </w:pPr>
      <w:rPr>
        <w:rFonts w:hint="default"/>
        <w:lang w:val="en-GB" w:eastAsia="en-GB" w:bidi="en-GB"/>
      </w:rPr>
    </w:lvl>
    <w:lvl w:ilvl="7" w:tplc="A462F498">
      <w:numFmt w:val="bullet"/>
      <w:lvlText w:val="•"/>
      <w:lvlJc w:val="left"/>
      <w:pPr>
        <w:ind w:left="6608" w:hanging="360"/>
      </w:pPr>
      <w:rPr>
        <w:rFonts w:hint="default"/>
        <w:lang w:val="en-GB" w:eastAsia="en-GB" w:bidi="en-GB"/>
      </w:rPr>
    </w:lvl>
    <w:lvl w:ilvl="8" w:tplc="02A601AA">
      <w:numFmt w:val="bullet"/>
      <w:lvlText w:val="•"/>
      <w:lvlJc w:val="left"/>
      <w:pPr>
        <w:ind w:left="7407" w:hanging="360"/>
      </w:pPr>
      <w:rPr>
        <w:rFonts w:hint="default"/>
        <w:lang w:val="en-GB" w:eastAsia="en-GB" w:bidi="en-GB"/>
      </w:rPr>
    </w:lvl>
  </w:abstractNum>
  <w:abstractNum w:abstractNumId="1" w15:restartNumberingAfterBreak="0">
    <w:nsid w:val="3DE54037"/>
    <w:multiLevelType w:val="hybridMultilevel"/>
    <w:tmpl w:val="58D2F832"/>
    <w:lvl w:ilvl="0" w:tplc="515A4402">
      <w:start w:val="1"/>
      <w:numFmt w:val="decimal"/>
      <w:lvlText w:val="%1."/>
      <w:lvlJc w:val="left"/>
      <w:pPr>
        <w:ind w:left="623" w:hanging="360"/>
        <w:jc w:val="left"/>
      </w:pPr>
      <w:rPr>
        <w:rFonts w:ascii="Arial" w:eastAsia="Arial" w:hAnsi="Arial" w:cs="Arial" w:hint="default"/>
        <w:spacing w:val="-4"/>
        <w:w w:val="100"/>
        <w:sz w:val="24"/>
        <w:szCs w:val="24"/>
        <w:lang w:val="en-GB" w:eastAsia="en-GB" w:bidi="en-GB"/>
      </w:rPr>
    </w:lvl>
    <w:lvl w:ilvl="1" w:tplc="7780D2F8">
      <w:numFmt w:val="bullet"/>
      <w:lvlText w:val=""/>
      <w:lvlJc w:val="left"/>
      <w:pPr>
        <w:ind w:left="1703" w:hanging="360"/>
      </w:pPr>
      <w:rPr>
        <w:rFonts w:ascii="Symbol" w:eastAsia="Symbol" w:hAnsi="Symbol" w:cs="Symbol" w:hint="default"/>
        <w:w w:val="100"/>
        <w:sz w:val="24"/>
        <w:szCs w:val="24"/>
        <w:lang w:val="en-GB" w:eastAsia="en-GB" w:bidi="en-GB"/>
      </w:rPr>
    </w:lvl>
    <w:lvl w:ilvl="2" w:tplc="33C09DA4">
      <w:numFmt w:val="bullet"/>
      <w:lvlText w:val="•"/>
      <w:lvlJc w:val="left"/>
      <w:pPr>
        <w:ind w:left="1700" w:hanging="360"/>
      </w:pPr>
      <w:rPr>
        <w:rFonts w:hint="default"/>
        <w:lang w:val="en-GB" w:eastAsia="en-GB" w:bidi="en-GB"/>
      </w:rPr>
    </w:lvl>
    <w:lvl w:ilvl="3" w:tplc="354E70CC">
      <w:numFmt w:val="bullet"/>
      <w:lvlText w:val="•"/>
      <w:lvlJc w:val="left"/>
      <w:pPr>
        <w:ind w:left="2758" w:hanging="360"/>
      </w:pPr>
      <w:rPr>
        <w:rFonts w:hint="default"/>
        <w:lang w:val="en-GB" w:eastAsia="en-GB" w:bidi="en-GB"/>
      </w:rPr>
    </w:lvl>
    <w:lvl w:ilvl="4" w:tplc="A7FAB362">
      <w:numFmt w:val="bullet"/>
      <w:lvlText w:val="•"/>
      <w:lvlJc w:val="left"/>
      <w:pPr>
        <w:ind w:left="3816" w:hanging="360"/>
      </w:pPr>
      <w:rPr>
        <w:rFonts w:hint="default"/>
        <w:lang w:val="en-GB" w:eastAsia="en-GB" w:bidi="en-GB"/>
      </w:rPr>
    </w:lvl>
    <w:lvl w:ilvl="5" w:tplc="48600026">
      <w:numFmt w:val="bullet"/>
      <w:lvlText w:val="•"/>
      <w:lvlJc w:val="left"/>
      <w:pPr>
        <w:ind w:left="4874" w:hanging="360"/>
      </w:pPr>
      <w:rPr>
        <w:rFonts w:hint="default"/>
        <w:lang w:val="en-GB" w:eastAsia="en-GB" w:bidi="en-GB"/>
      </w:rPr>
    </w:lvl>
    <w:lvl w:ilvl="6" w:tplc="0D5268B0">
      <w:numFmt w:val="bullet"/>
      <w:lvlText w:val="•"/>
      <w:lvlJc w:val="left"/>
      <w:pPr>
        <w:ind w:left="5933" w:hanging="360"/>
      </w:pPr>
      <w:rPr>
        <w:rFonts w:hint="default"/>
        <w:lang w:val="en-GB" w:eastAsia="en-GB" w:bidi="en-GB"/>
      </w:rPr>
    </w:lvl>
    <w:lvl w:ilvl="7" w:tplc="8DAECB94">
      <w:numFmt w:val="bullet"/>
      <w:lvlText w:val="•"/>
      <w:lvlJc w:val="left"/>
      <w:pPr>
        <w:ind w:left="6991" w:hanging="360"/>
      </w:pPr>
      <w:rPr>
        <w:rFonts w:hint="default"/>
        <w:lang w:val="en-GB" w:eastAsia="en-GB" w:bidi="en-GB"/>
      </w:rPr>
    </w:lvl>
    <w:lvl w:ilvl="8" w:tplc="9140BD24">
      <w:numFmt w:val="bullet"/>
      <w:lvlText w:val="•"/>
      <w:lvlJc w:val="left"/>
      <w:pPr>
        <w:ind w:left="8049" w:hanging="360"/>
      </w:pPr>
      <w:rPr>
        <w:rFonts w:hint="default"/>
        <w:lang w:val="en-GB" w:eastAsia="en-GB" w:bidi="en-GB"/>
      </w:rPr>
    </w:lvl>
  </w:abstractNum>
  <w:abstractNum w:abstractNumId="2" w15:restartNumberingAfterBreak="0">
    <w:nsid w:val="5FA45A02"/>
    <w:multiLevelType w:val="hybridMultilevel"/>
    <w:tmpl w:val="988E0A3E"/>
    <w:lvl w:ilvl="0" w:tplc="4C4E9D82">
      <w:start w:val="1"/>
      <w:numFmt w:val="decimal"/>
      <w:lvlText w:val="%1."/>
      <w:lvlJc w:val="left"/>
      <w:pPr>
        <w:ind w:left="1025" w:hanging="360"/>
        <w:jc w:val="left"/>
      </w:pPr>
      <w:rPr>
        <w:rFonts w:ascii="Arial" w:eastAsia="Arial" w:hAnsi="Arial" w:cs="Arial" w:hint="default"/>
        <w:spacing w:val="-3"/>
        <w:w w:val="100"/>
        <w:sz w:val="24"/>
        <w:szCs w:val="24"/>
        <w:lang w:val="en-GB" w:eastAsia="en-GB" w:bidi="en-GB"/>
      </w:rPr>
    </w:lvl>
    <w:lvl w:ilvl="1" w:tplc="0C542DF2">
      <w:numFmt w:val="bullet"/>
      <w:lvlText w:val="•"/>
      <w:lvlJc w:val="left"/>
      <w:pPr>
        <w:ind w:left="1818" w:hanging="360"/>
      </w:pPr>
      <w:rPr>
        <w:rFonts w:hint="default"/>
        <w:lang w:val="en-GB" w:eastAsia="en-GB" w:bidi="en-GB"/>
      </w:rPr>
    </w:lvl>
    <w:lvl w:ilvl="2" w:tplc="F53C9BA2">
      <w:numFmt w:val="bullet"/>
      <w:lvlText w:val="•"/>
      <w:lvlJc w:val="left"/>
      <w:pPr>
        <w:ind w:left="2616" w:hanging="360"/>
      </w:pPr>
      <w:rPr>
        <w:rFonts w:hint="default"/>
        <w:lang w:val="en-GB" w:eastAsia="en-GB" w:bidi="en-GB"/>
      </w:rPr>
    </w:lvl>
    <w:lvl w:ilvl="3" w:tplc="276A9760">
      <w:numFmt w:val="bullet"/>
      <w:lvlText w:val="•"/>
      <w:lvlJc w:val="left"/>
      <w:pPr>
        <w:ind w:left="3415" w:hanging="360"/>
      </w:pPr>
      <w:rPr>
        <w:rFonts w:hint="default"/>
        <w:lang w:val="en-GB" w:eastAsia="en-GB" w:bidi="en-GB"/>
      </w:rPr>
    </w:lvl>
    <w:lvl w:ilvl="4" w:tplc="C0CA7F9C">
      <w:numFmt w:val="bullet"/>
      <w:lvlText w:val="•"/>
      <w:lvlJc w:val="left"/>
      <w:pPr>
        <w:ind w:left="4213" w:hanging="360"/>
      </w:pPr>
      <w:rPr>
        <w:rFonts w:hint="default"/>
        <w:lang w:val="en-GB" w:eastAsia="en-GB" w:bidi="en-GB"/>
      </w:rPr>
    </w:lvl>
    <w:lvl w:ilvl="5" w:tplc="20E8BFDE">
      <w:numFmt w:val="bullet"/>
      <w:lvlText w:val="•"/>
      <w:lvlJc w:val="left"/>
      <w:pPr>
        <w:ind w:left="5012" w:hanging="360"/>
      </w:pPr>
      <w:rPr>
        <w:rFonts w:hint="default"/>
        <w:lang w:val="en-GB" w:eastAsia="en-GB" w:bidi="en-GB"/>
      </w:rPr>
    </w:lvl>
    <w:lvl w:ilvl="6" w:tplc="23361F8C">
      <w:numFmt w:val="bullet"/>
      <w:lvlText w:val="•"/>
      <w:lvlJc w:val="left"/>
      <w:pPr>
        <w:ind w:left="5810" w:hanging="360"/>
      </w:pPr>
      <w:rPr>
        <w:rFonts w:hint="default"/>
        <w:lang w:val="en-GB" w:eastAsia="en-GB" w:bidi="en-GB"/>
      </w:rPr>
    </w:lvl>
    <w:lvl w:ilvl="7" w:tplc="BBAE9C8A">
      <w:numFmt w:val="bullet"/>
      <w:lvlText w:val="•"/>
      <w:lvlJc w:val="left"/>
      <w:pPr>
        <w:ind w:left="6608" w:hanging="360"/>
      </w:pPr>
      <w:rPr>
        <w:rFonts w:hint="default"/>
        <w:lang w:val="en-GB" w:eastAsia="en-GB" w:bidi="en-GB"/>
      </w:rPr>
    </w:lvl>
    <w:lvl w:ilvl="8" w:tplc="EDE8A048">
      <w:numFmt w:val="bullet"/>
      <w:lvlText w:val="•"/>
      <w:lvlJc w:val="left"/>
      <w:pPr>
        <w:ind w:left="7407" w:hanging="360"/>
      </w:pPr>
      <w:rPr>
        <w:rFonts w:hint="default"/>
        <w:lang w:val="en-GB" w:eastAsia="en-GB" w:bidi="en-GB"/>
      </w:rPr>
    </w:lvl>
  </w:abstractNum>
  <w:num w:numId="1" w16cid:durableId="279802248">
    <w:abstractNumId w:val="1"/>
  </w:num>
  <w:num w:numId="2" w16cid:durableId="80689406">
    <w:abstractNumId w:val="2"/>
  </w:num>
  <w:num w:numId="3" w16cid:durableId="205993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341A9"/>
    <w:rsid w:val="00630C67"/>
    <w:rsid w:val="007341A9"/>
    <w:rsid w:val="00DB6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F567"/>
  <w15:docId w15:val="{E88E8F87-0B03-437F-819D-79F42824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63"/>
      <w:outlineLvl w:val="0"/>
    </w:pPr>
    <w:rPr>
      <w:b/>
      <w:bCs/>
      <w:sz w:val="36"/>
      <w:szCs w:val="36"/>
    </w:rPr>
  </w:style>
  <w:style w:type="paragraph" w:styleId="Heading2">
    <w:name w:val="heading 2"/>
    <w:basedOn w:val="Normal"/>
    <w:uiPriority w:val="9"/>
    <w:unhideWhenUsed/>
    <w:qFormat/>
    <w:pPr>
      <w:ind w:left="38"/>
      <w:outlineLvl w:val="1"/>
    </w:pPr>
    <w:rPr>
      <w:b/>
      <w:bCs/>
      <w:sz w:val="32"/>
      <w:szCs w:val="32"/>
    </w:rPr>
  </w:style>
  <w:style w:type="paragraph" w:styleId="Heading3">
    <w:name w:val="heading 3"/>
    <w:basedOn w:val="Normal"/>
    <w:uiPriority w:val="9"/>
    <w:unhideWhenUsed/>
    <w:qFormat/>
    <w:pPr>
      <w:ind w:left="26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623"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eyeslao@oxford.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3390</Characters>
  <Application>Microsoft Office Word</Application>
  <DocSecurity>0</DocSecurity>
  <Lines>28</Lines>
  <Paragraphs>7</Paragraphs>
  <ScaleCrop>false</ScaleCrop>
  <Company>Oxford City Council</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creator>Oxford City Council officer</dc:creator>
  <cp:keywords>OxCityCouncil Report</cp:keywords>
  <cp:lastModifiedBy>MALTON Jonathan</cp:lastModifiedBy>
  <cp:revision>2</cp:revision>
  <dcterms:created xsi:type="dcterms:W3CDTF">2025-06-27T16:45:00Z</dcterms:created>
  <dcterms:modified xsi:type="dcterms:W3CDTF">2025-06-27T16:45:00Z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Acrobat PDFMaker 20 for Word</vt:lpwstr>
  </property>
  <property fmtid="{D5CDD505-2E9C-101B-9397-08002B2CF9AE}" pid="4" name="LastSaved">
    <vt:filetime>2025-06-27T00:00:00Z</vt:filetime>
  </property>
</Properties>
</file>